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362B" w14:textId="77777777" w:rsidR="00136B4A" w:rsidRPr="00AC327C" w:rsidRDefault="00136B4A" w:rsidP="00136B4A">
      <w:pPr>
        <w:pStyle w:val="Heading2"/>
        <w:spacing w:before="0"/>
        <w:jc w:val="both"/>
        <w:rPr>
          <w:rFonts w:ascii="Times New Roman" w:eastAsia="Calibri" w:hAnsi="Times New Roman" w:cs="Times New Roman"/>
          <w:i/>
          <w:color w:val="auto"/>
        </w:rPr>
      </w:pPr>
      <w:bookmarkStart w:id="0" w:name="_Toc166442840"/>
      <w:r w:rsidRPr="00AC327C">
        <w:rPr>
          <w:rFonts w:ascii="Times New Roman" w:eastAsia="Calibri" w:hAnsi="Times New Roman" w:cs="Times New Roman"/>
          <w:b/>
          <w:bCs/>
          <w:color w:val="auto"/>
          <w:sz w:val="24"/>
          <w:szCs w:val="24"/>
        </w:rPr>
        <w:t>112. THUỐC BẢO VỆ THỰC VẬT SINH HỌC</w:t>
      </w:r>
      <w:bookmarkEnd w:id="0"/>
      <w:r w:rsidRPr="00AC327C">
        <w:rPr>
          <w:rFonts w:ascii="Times New Roman" w:eastAsia="Calibri" w:hAnsi="Times New Roman" w:cs="Times New Roman"/>
          <w:color w:val="auto"/>
        </w:rPr>
        <w:t xml:space="preserve"> </w:t>
      </w:r>
    </w:p>
    <w:p w14:paraId="0A06FDC5" w14:textId="77777777" w:rsidR="00136B4A" w:rsidRPr="00AC327C" w:rsidRDefault="00136B4A" w:rsidP="00136B4A">
      <w:pPr>
        <w:jc w:val="both"/>
        <w:rPr>
          <w:rFonts w:eastAsia="Calibri"/>
          <w:sz w:val="28"/>
          <w:szCs w:val="28"/>
          <w:lang w:val="vi-VN"/>
        </w:rPr>
      </w:pPr>
      <w:r w:rsidRPr="00AC327C">
        <w:rPr>
          <w:sz w:val="28"/>
          <w:szCs w:val="28"/>
          <w:lang w:val="vi-VN"/>
        </w:rPr>
        <w:t>sản phẩm có thành phần hữu hiệu là vi sinh vật sống hoặc</w:t>
      </w:r>
      <w:r w:rsidRPr="00AC327C">
        <w:rPr>
          <w:sz w:val="28"/>
          <w:szCs w:val="28"/>
          <w:lang w:val="it-IT"/>
        </w:rPr>
        <w:t xml:space="preserve"> hoạt</w:t>
      </w:r>
      <w:r w:rsidRPr="00AC327C">
        <w:rPr>
          <w:sz w:val="28"/>
          <w:szCs w:val="28"/>
          <w:lang w:val="vi-VN"/>
        </w:rPr>
        <w:t xml:space="preserve"> chất có nguồn gốc từ vi sinh vật, thực vật, động vật. Thuốc BVTVSH được chia làm 3 nhóm: </w:t>
      </w:r>
    </w:p>
    <w:p w14:paraId="4942227E" w14:textId="77777777" w:rsidR="00136B4A" w:rsidRPr="00AC327C" w:rsidRDefault="00136B4A" w:rsidP="00136B4A">
      <w:pPr>
        <w:ind w:firstLine="720"/>
        <w:jc w:val="both"/>
        <w:rPr>
          <w:sz w:val="28"/>
          <w:szCs w:val="28"/>
          <w:lang w:val="vi-VN"/>
        </w:rPr>
      </w:pPr>
      <w:r>
        <w:rPr>
          <w:iCs/>
          <w:sz w:val="28"/>
          <w:szCs w:val="28"/>
          <w:lang w:val="vi-VN"/>
        </w:rPr>
        <w:t xml:space="preserve">1) </w:t>
      </w:r>
      <w:r w:rsidRPr="006B497E">
        <w:rPr>
          <w:i/>
          <w:sz w:val="28"/>
          <w:szCs w:val="28"/>
          <w:lang w:val="vi-VN"/>
        </w:rPr>
        <w:t>TBVTVSH</w:t>
      </w:r>
      <w:r w:rsidRPr="00AC327C">
        <w:rPr>
          <w:i/>
          <w:sz w:val="28"/>
          <w:szCs w:val="28"/>
          <w:lang w:val="vi-VN"/>
        </w:rPr>
        <w:t xml:space="preserve"> vi sinh </w:t>
      </w:r>
      <w:r w:rsidRPr="006B497E">
        <w:rPr>
          <w:sz w:val="28"/>
          <w:szCs w:val="28"/>
          <w:lang w:val="vi-VN"/>
        </w:rPr>
        <w:t>s</w:t>
      </w:r>
      <w:r w:rsidRPr="00AC327C">
        <w:rPr>
          <w:sz w:val="28"/>
          <w:szCs w:val="28"/>
          <w:lang w:val="vi-VN"/>
        </w:rPr>
        <w:t>ử dụng các sinh vật sống</w:t>
      </w:r>
      <w:r>
        <w:rPr>
          <w:sz w:val="28"/>
          <w:szCs w:val="28"/>
          <w:lang w:val="vi-VN"/>
        </w:rPr>
        <w:t>,</w:t>
      </w:r>
      <w:r w:rsidRPr="00AC327C">
        <w:rPr>
          <w:sz w:val="28"/>
          <w:szCs w:val="28"/>
          <w:lang w:val="vi-VN"/>
        </w:rPr>
        <w:t xml:space="preserve"> gồm nấm, vi khuẩn, vi rút</w:t>
      </w:r>
      <w:r w:rsidRPr="006B497E">
        <w:rPr>
          <w:sz w:val="28"/>
          <w:szCs w:val="28"/>
          <w:lang w:val="vi-VN"/>
        </w:rPr>
        <w:t xml:space="preserve">, v.v. </w:t>
      </w:r>
      <w:r w:rsidRPr="00AC327C">
        <w:rPr>
          <w:sz w:val="28"/>
          <w:szCs w:val="28"/>
          <w:lang w:val="vi-VN"/>
        </w:rPr>
        <w:t>hoặc các hoạt chất chiết xuất từ vi sinh vật</w:t>
      </w:r>
      <w:r w:rsidRPr="006B497E">
        <w:rPr>
          <w:sz w:val="28"/>
          <w:szCs w:val="28"/>
          <w:lang w:val="vi-VN"/>
        </w:rPr>
        <w:t>, v.v.,</w:t>
      </w:r>
      <w:r w:rsidRPr="00AC327C">
        <w:rPr>
          <w:sz w:val="28"/>
          <w:szCs w:val="28"/>
          <w:lang w:val="vi-VN"/>
        </w:rPr>
        <w:t xml:space="preserve"> có khả năng tiêu diệt hoặc đối kháng với các sinh vật, vi sinh vật gây hại trên thực vật. Có 2 phương thức sản xuất: </w:t>
      </w:r>
      <w:r w:rsidRPr="006B497E">
        <w:rPr>
          <w:sz w:val="28"/>
          <w:szCs w:val="28"/>
          <w:lang w:val="vi-VN"/>
        </w:rPr>
        <w:t>1</w:t>
      </w:r>
      <w:r w:rsidRPr="00AC327C">
        <w:rPr>
          <w:sz w:val="28"/>
          <w:szCs w:val="28"/>
          <w:lang w:val="vi-VN"/>
        </w:rPr>
        <w:t xml:space="preserve">) </w:t>
      </w:r>
      <w:r w:rsidRPr="006B497E">
        <w:rPr>
          <w:sz w:val="28"/>
          <w:szCs w:val="28"/>
          <w:lang w:val="vi-VN"/>
        </w:rPr>
        <w:t>s</w:t>
      </w:r>
      <w:r w:rsidRPr="00AC327C">
        <w:rPr>
          <w:sz w:val="28"/>
          <w:szCs w:val="28"/>
          <w:lang w:val="vi-VN"/>
        </w:rPr>
        <w:t>ản xuất thủ công bằng cách thu gom trực tiếp sâu bị nhiễm tác nhân sinh học, sau đó chế biến và phun trực tiếp lên cây trồng</w:t>
      </w:r>
      <w:r w:rsidRPr="006B497E">
        <w:rPr>
          <w:sz w:val="28"/>
          <w:szCs w:val="28"/>
          <w:lang w:val="vi-VN"/>
        </w:rPr>
        <w:t>; 2</w:t>
      </w:r>
      <w:r w:rsidRPr="00AC327C">
        <w:rPr>
          <w:sz w:val="28"/>
          <w:szCs w:val="28"/>
          <w:lang w:val="vi-VN"/>
        </w:rPr>
        <w:t xml:space="preserve">) </w:t>
      </w:r>
      <w:r w:rsidRPr="006B497E">
        <w:rPr>
          <w:sz w:val="28"/>
          <w:szCs w:val="28"/>
          <w:lang w:val="vi-VN"/>
        </w:rPr>
        <w:t>s</w:t>
      </w:r>
      <w:r w:rsidRPr="00AC327C">
        <w:rPr>
          <w:sz w:val="28"/>
          <w:szCs w:val="28"/>
          <w:lang w:val="vi-VN"/>
        </w:rPr>
        <w:t xml:space="preserve">ản xuất bằng cách nuôi nhân tạo để sản xuất sinh khối lớn. Từ nửa cuối thể kỷ </w:t>
      </w:r>
      <w:r w:rsidRPr="006B497E">
        <w:rPr>
          <w:sz w:val="28"/>
          <w:szCs w:val="28"/>
          <w:lang w:val="vi-VN"/>
        </w:rPr>
        <w:t>XX</w:t>
      </w:r>
      <w:r w:rsidRPr="00AC327C">
        <w:rPr>
          <w:sz w:val="28"/>
          <w:szCs w:val="28"/>
          <w:lang w:val="vi-VN"/>
        </w:rPr>
        <w:t xml:space="preserve">, nhiều hoạt chất sinh học được chiết xuất từ xạ khuẩn </w:t>
      </w:r>
      <w:r w:rsidRPr="00B21A3A">
        <w:rPr>
          <w:i/>
          <w:sz w:val="28"/>
          <w:szCs w:val="28"/>
          <w:lang w:val="vi-VN"/>
        </w:rPr>
        <w:t>Streptomyce</w:t>
      </w:r>
      <w:r w:rsidRPr="006A0317">
        <w:rPr>
          <w:i/>
          <w:sz w:val="28"/>
          <w:szCs w:val="28"/>
          <w:lang w:val="vi-VN"/>
        </w:rPr>
        <w:t>s</w:t>
      </w:r>
      <w:r w:rsidRPr="00AC327C">
        <w:rPr>
          <w:i/>
          <w:sz w:val="28"/>
          <w:szCs w:val="28"/>
          <w:lang w:val="vi-VN"/>
        </w:rPr>
        <w:t xml:space="preserve"> </w:t>
      </w:r>
      <w:r w:rsidRPr="00AC327C">
        <w:rPr>
          <w:sz w:val="28"/>
          <w:szCs w:val="28"/>
          <w:lang w:val="vi-VN"/>
        </w:rPr>
        <w:t>để trừ sâu, bệnh hại thực vật. Nổi bật nhất là hoạt chất Abamectin,</w:t>
      </w:r>
      <w:r w:rsidRPr="006B497E">
        <w:rPr>
          <w:sz w:val="28"/>
          <w:szCs w:val="28"/>
          <w:lang w:val="vi-VN"/>
        </w:rPr>
        <w:t xml:space="preserve"> v.v.,</w:t>
      </w:r>
      <w:r w:rsidRPr="00AC327C">
        <w:rPr>
          <w:sz w:val="28"/>
          <w:szCs w:val="28"/>
          <w:lang w:val="vi-VN"/>
        </w:rPr>
        <w:t xml:space="preserve"> được chiết xuất từ vi khuẩn </w:t>
      </w:r>
      <w:r w:rsidRPr="00B21A3A">
        <w:rPr>
          <w:i/>
          <w:sz w:val="28"/>
          <w:szCs w:val="28"/>
          <w:lang w:val="vi-VN"/>
        </w:rPr>
        <w:t>Streptomyces avermitilis</w:t>
      </w:r>
      <w:r w:rsidRPr="00AC327C">
        <w:rPr>
          <w:iCs/>
          <w:sz w:val="28"/>
          <w:szCs w:val="28"/>
          <w:lang w:val="vi-VN"/>
        </w:rPr>
        <w:t>. Ngoài ra</w:t>
      </w:r>
      <w:r w:rsidRPr="006B497E">
        <w:rPr>
          <w:iCs/>
          <w:sz w:val="28"/>
          <w:szCs w:val="28"/>
          <w:lang w:val="vi-VN"/>
        </w:rPr>
        <w:t>,</w:t>
      </w:r>
      <w:r w:rsidRPr="00AC327C">
        <w:rPr>
          <w:iCs/>
          <w:sz w:val="28"/>
          <w:szCs w:val="28"/>
          <w:lang w:val="vi-VN"/>
        </w:rPr>
        <w:t xml:space="preserve"> các chất kháng sinh như kasugamycin từ vi khuẩn </w:t>
      </w:r>
      <w:r w:rsidRPr="00B21A3A">
        <w:rPr>
          <w:i/>
          <w:sz w:val="28"/>
          <w:szCs w:val="28"/>
          <w:lang w:val="vi-VN"/>
        </w:rPr>
        <w:t>S. kasugaensis</w:t>
      </w:r>
      <w:r w:rsidRPr="00AC327C">
        <w:rPr>
          <w:iCs/>
          <w:sz w:val="28"/>
          <w:szCs w:val="28"/>
          <w:lang w:val="vi-VN"/>
        </w:rPr>
        <w:t xml:space="preserve">, ningnanmycine từ vi khuẩn </w:t>
      </w:r>
      <w:r w:rsidRPr="00B21A3A">
        <w:rPr>
          <w:i/>
          <w:sz w:val="28"/>
          <w:szCs w:val="28"/>
          <w:lang w:val="vi-VN"/>
        </w:rPr>
        <w:t>S. noursei</w:t>
      </w:r>
      <w:r w:rsidRPr="00AC327C">
        <w:rPr>
          <w:iCs/>
          <w:sz w:val="28"/>
          <w:szCs w:val="28"/>
          <w:lang w:val="vi-VN"/>
        </w:rPr>
        <w:t xml:space="preserve"> và validamycin từ vi khuẩn </w:t>
      </w:r>
      <w:r w:rsidRPr="00B21A3A">
        <w:rPr>
          <w:i/>
          <w:sz w:val="28"/>
          <w:szCs w:val="28"/>
          <w:lang w:val="vi-VN"/>
        </w:rPr>
        <w:t>S. hygroscopicus</w:t>
      </w:r>
      <w:r w:rsidRPr="00AC327C">
        <w:rPr>
          <w:iCs/>
          <w:sz w:val="28"/>
          <w:szCs w:val="28"/>
          <w:lang w:val="vi-VN"/>
        </w:rPr>
        <w:t xml:space="preserve"> đã được sản xuất để phòng</w:t>
      </w:r>
      <w:r w:rsidRPr="00AC327C">
        <w:rPr>
          <w:sz w:val="28"/>
          <w:szCs w:val="28"/>
          <w:lang w:val="vi-VN"/>
        </w:rPr>
        <w:t xml:space="preserve"> chống nhiều bệnh hại trên thực vật</w:t>
      </w:r>
      <w:r w:rsidRPr="006B497E">
        <w:rPr>
          <w:sz w:val="28"/>
          <w:szCs w:val="28"/>
          <w:lang w:val="vi-VN"/>
        </w:rPr>
        <w:t>;</w:t>
      </w:r>
    </w:p>
    <w:p w14:paraId="093210E5" w14:textId="77777777" w:rsidR="00136B4A" w:rsidRPr="00DC5133" w:rsidRDefault="00136B4A" w:rsidP="00136B4A">
      <w:pPr>
        <w:ind w:firstLine="709"/>
        <w:jc w:val="both"/>
        <w:rPr>
          <w:sz w:val="28"/>
          <w:szCs w:val="28"/>
          <w:lang w:val="vi-VN"/>
        </w:rPr>
      </w:pPr>
      <w:r w:rsidRPr="00B21A3A">
        <w:rPr>
          <w:iCs/>
          <w:sz w:val="28"/>
          <w:szCs w:val="28"/>
          <w:lang w:val="vi-VN"/>
        </w:rPr>
        <w:t>2)</w:t>
      </w:r>
      <w:r>
        <w:rPr>
          <w:i/>
          <w:sz w:val="28"/>
          <w:szCs w:val="28"/>
          <w:lang w:val="vi-VN"/>
        </w:rPr>
        <w:t xml:space="preserve"> </w:t>
      </w:r>
      <w:r w:rsidRPr="006B497E">
        <w:rPr>
          <w:i/>
          <w:sz w:val="28"/>
          <w:szCs w:val="28"/>
          <w:lang w:val="vi-VN"/>
        </w:rPr>
        <w:t>TBVTVSH</w:t>
      </w:r>
      <w:r w:rsidRPr="00AC327C">
        <w:rPr>
          <w:i/>
          <w:sz w:val="28"/>
          <w:szCs w:val="28"/>
          <w:lang w:val="vi-VN"/>
        </w:rPr>
        <w:t xml:space="preserve"> thảo mộc </w:t>
      </w:r>
      <w:r w:rsidRPr="00AC327C">
        <w:rPr>
          <w:sz w:val="28"/>
          <w:szCs w:val="28"/>
          <w:lang w:val="vi-VN"/>
        </w:rPr>
        <w:t xml:space="preserve">sử dụng thảo mộc ở dạng thô hoặc những chất được tách chiết ra từ các bộ phận của cây để phòng chống sinh vật gây hại. Nhiều loại thảo mộc có thể sử dụng trực tiếp như: sử dụng hỗn hợp 20 </w:t>
      </w:r>
      <w:r w:rsidRPr="006B497E">
        <w:rPr>
          <w:sz w:val="28"/>
          <w:szCs w:val="28"/>
          <w:lang w:val="vi-VN"/>
        </w:rPr>
        <w:t>-</w:t>
      </w:r>
      <w:r w:rsidRPr="00AC327C">
        <w:rPr>
          <w:sz w:val="28"/>
          <w:szCs w:val="28"/>
          <w:lang w:val="vi-VN"/>
        </w:rPr>
        <w:t xml:space="preserve"> 30% khô dầu lạc, sản phẩm từ cây neem, hạt trẩu, bột cây hoa dã </w:t>
      </w:r>
      <w:r w:rsidRPr="006B497E">
        <w:rPr>
          <w:sz w:val="28"/>
          <w:szCs w:val="28"/>
          <w:lang w:val="vi-VN"/>
        </w:rPr>
        <w:t>quỳ</w:t>
      </w:r>
      <w:r w:rsidRPr="00AC327C">
        <w:rPr>
          <w:sz w:val="28"/>
          <w:szCs w:val="28"/>
          <w:lang w:val="vi-VN"/>
        </w:rPr>
        <w:t xml:space="preserve"> (</w:t>
      </w:r>
      <w:r w:rsidRPr="00AC327C">
        <w:rPr>
          <w:i/>
          <w:sz w:val="28"/>
          <w:szCs w:val="28"/>
          <w:lang w:val="vi-VN"/>
        </w:rPr>
        <w:t>Tithonia diversifonia</w:t>
      </w:r>
      <w:r>
        <w:rPr>
          <w:iCs/>
          <w:sz w:val="28"/>
          <w:szCs w:val="28"/>
          <w:lang w:val="vi-VN"/>
        </w:rPr>
        <w:t xml:space="preserve"> </w:t>
      </w:r>
      <w:r w:rsidRPr="00B21A3A">
        <w:rPr>
          <w:sz w:val="28"/>
          <w:szCs w:val="28"/>
          <w:lang w:val="vi-VN"/>
        </w:rPr>
        <w:t>(</w:t>
      </w:r>
      <w:hyperlink r:id="rId4" w:tooltip="William Hemsley (botanist)" w:history="1">
        <w:r w:rsidRPr="00B21A3A">
          <w:rPr>
            <w:rStyle w:val="Hyperlink"/>
            <w:rFonts w:eastAsiaTheme="minorEastAsia"/>
            <w:color w:val="auto"/>
            <w:sz w:val="28"/>
            <w:szCs w:val="28"/>
            <w:lang w:val="vi-VN"/>
          </w:rPr>
          <w:t>Hemsl.</w:t>
        </w:r>
      </w:hyperlink>
      <w:r w:rsidRPr="00B21A3A">
        <w:rPr>
          <w:sz w:val="28"/>
          <w:szCs w:val="28"/>
          <w:lang w:val="vi-VN"/>
        </w:rPr>
        <w:t>) </w:t>
      </w:r>
      <w:r>
        <w:fldChar w:fldCharType="begin"/>
      </w:r>
      <w:r w:rsidRPr="00F40ED1">
        <w:rPr>
          <w:lang w:val="vi-VN"/>
        </w:rPr>
        <w:instrText>HYPERLINK "https://en.wikipedia.org/wiki/Asa_Gray"</w:instrText>
      </w:r>
      <w:r>
        <w:fldChar w:fldCharType="separate"/>
      </w:r>
      <w:proofErr w:type="gramStart"/>
      <w:r w:rsidRPr="00B34D99">
        <w:rPr>
          <w:rStyle w:val="Hyperlink"/>
          <w:rFonts w:eastAsiaTheme="minorEastAsia"/>
          <w:color w:val="auto"/>
          <w:sz w:val="28"/>
          <w:szCs w:val="28"/>
        </w:rPr>
        <w:t>A.Gray</w:t>
      </w:r>
      <w:proofErr w:type="gramEnd"/>
      <w:r>
        <w:fldChar w:fldCharType="end"/>
      </w:r>
      <w:r w:rsidRPr="00AC327C">
        <w:rPr>
          <w:sz w:val="28"/>
          <w:szCs w:val="28"/>
          <w:lang w:val="vi-VN"/>
        </w:rPr>
        <w:t>), v</w:t>
      </w:r>
      <w:r w:rsidRPr="006B497E">
        <w:rPr>
          <w:sz w:val="28"/>
          <w:szCs w:val="28"/>
          <w:lang w:val="vi-VN"/>
        </w:rPr>
        <w:t>.</w:t>
      </w:r>
      <w:r w:rsidRPr="00AC327C">
        <w:rPr>
          <w:sz w:val="28"/>
          <w:szCs w:val="28"/>
          <w:lang w:val="vi-VN"/>
        </w:rPr>
        <w:t>v</w:t>
      </w:r>
      <w:r w:rsidRPr="006B497E">
        <w:rPr>
          <w:sz w:val="28"/>
          <w:szCs w:val="28"/>
          <w:lang w:val="vi-VN"/>
        </w:rPr>
        <w:t>.,</w:t>
      </w:r>
      <w:r w:rsidRPr="00AC327C">
        <w:rPr>
          <w:sz w:val="28"/>
          <w:szCs w:val="28"/>
          <w:lang w:val="vi-VN"/>
        </w:rPr>
        <w:t xml:space="preserve"> để phòng chống tuyến trùng hại rễ cho nhiều loại cây trồng. Một số thuốc thảo mộc hiện nay đã được sản xuất theo qu</w:t>
      </w:r>
      <w:r w:rsidRPr="006B497E">
        <w:rPr>
          <w:sz w:val="28"/>
          <w:szCs w:val="28"/>
          <w:lang w:val="vi-VN"/>
        </w:rPr>
        <w:t>y</w:t>
      </w:r>
      <w:r w:rsidRPr="00AC327C">
        <w:rPr>
          <w:sz w:val="28"/>
          <w:szCs w:val="28"/>
          <w:lang w:val="vi-VN"/>
        </w:rPr>
        <w:t xml:space="preserve"> mô công nghiệp như</w:t>
      </w:r>
      <w:r w:rsidRPr="006B497E">
        <w:rPr>
          <w:sz w:val="28"/>
          <w:szCs w:val="28"/>
          <w:lang w:val="vi-VN"/>
        </w:rPr>
        <w:t>:</w:t>
      </w:r>
      <w:r w:rsidRPr="00AC327C">
        <w:rPr>
          <w:sz w:val="28"/>
          <w:szCs w:val="28"/>
          <w:lang w:val="vi-VN"/>
        </w:rPr>
        <w:t xml:space="preserve"> thuốc trừ sâu và bệnh Anisaf SH-01được tổng hợp từ một số cây thảo dược; </w:t>
      </w:r>
      <w:r w:rsidRPr="006B497E">
        <w:rPr>
          <w:sz w:val="28"/>
          <w:szCs w:val="28"/>
          <w:lang w:val="vi-VN"/>
        </w:rPr>
        <w:t>t</w:t>
      </w:r>
      <w:r w:rsidRPr="00AC327C">
        <w:rPr>
          <w:sz w:val="28"/>
          <w:szCs w:val="28"/>
          <w:lang w:val="vi-VN"/>
        </w:rPr>
        <w:t>huốc Sông Lam 333 - 50EC, hoạt chất Azadirachtin từ cây neem (</w:t>
      </w:r>
      <w:r w:rsidRPr="00B21A3A">
        <w:rPr>
          <w:i/>
          <w:iCs/>
          <w:sz w:val="28"/>
          <w:szCs w:val="28"/>
          <w:lang w:val="vi-VN"/>
        </w:rPr>
        <w:t>Azadirachta indica</w:t>
      </w:r>
      <w:r>
        <w:rPr>
          <w:sz w:val="28"/>
          <w:szCs w:val="28"/>
          <w:lang w:val="vi-VN"/>
        </w:rPr>
        <w:t xml:space="preserve"> </w:t>
      </w:r>
      <w:hyperlink r:id="rId5" w:tooltip="Adrien-Henri de Jussieu (trang không tồn tại)" w:history="1">
        <w:r w:rsidRPr="00B21A3A">
          <w:rPr>
            <w:rStyle w:val="Hyperlink"/>
            <w:rFonts w:eastAsiaTheme="minorEastAsia"/>
            <w:color w:val="auto"/>
            <w:sz w:val="28"/>
            <w:szCs w:val="28"/>
            <w:lang w:val="vi-VN"/>
          </w:rPr>
          <w:t>A.Juss</w:t>
        </w:r>
      </w:hyperlink>
      <w:r w:rsidRPr="00AC327C">
        <w:rPr>
          <w:sz w:val="28"/>
          <w:szCs w:val="28"/>
          <w:lang w:val="vi-VN"/>
        </w:rPr>
        <w:t>), được sử dụng nhiều trong các loại thuốc trừ sâu, nhện, tuyến trùng</w:t>
      </w:r>
      <w:r w:rsidRPr="006B497E">
        <w:rPr>
          <w:sz w:val="28"/>
          <w:szCs w:val="28"/>
          <w:lang w:val="vi-VN"/>
        </w:rPr>
        <w:t>, v.v.;</w:t>
      </w:r>
    </w:p>
    <w:p w14:paraId="60BEE1DA" w14:textId="77777777" w:rsidR="00136B4A" w:rsidRPr="00AC327C" w:rsidRDefault="00136B4A" w:rsidP="00136B4A">
      <w:pPr>
        <w:ind w:firstLine="720"/>
        <w:jc w:val="both"/>
        <w:rPr>
          <w:sz w:val="28"/>
          <w:szCs w:val="28"/>
          <w:lang w:val="vi-VN"/>
        </w:rPr>
      </w:pPr>
      <w:r>
        <w:rPr>
          <w:iCs/>
          <w:sz w:val="28"/>
          <w:szCs w:val="28"/>
          <w:lang w:val="vi-VN"/>
        </w:rPr>
        <w:t>3)</w:t>
      </w:r>
      <w:r>
        <w:rPr>
          <w:i/>
          <w:sz w:val="28"/>
          <w:szCs w:val="28"/>
          <w:lang w:val="vi-VN"/>
        </w:rPr>
        <w:t xml:space="preserve"> </w:t>
      </w:r>
      <w:r w:rsidRPr="006B497E">
        <w:rPr>
          <w:i/>
          <w:sz w:val="28"/>
          <w:szCs w:val="28"/>
          <w:lang w:val="vi-VN"/>
        </w:rPr>
        <w:t>TBVTVSH</w:t>
      </w:r>
      <w:r w:rsidRPr="00AC327C">
        <w:rPr>
          <w:i/>
          <w:sz w:val="28"/>
          <w:szCs w:val="28"/>
          <w:lang w:val="vi-VN"/>
        </w:rPr>
        <w:t xml:space="preserve"> hóa sinh</w:t>
      </w:r>
      <w:r w:rsidRPr="006B497E">
        <w:rPr>
          <w:i/>
          <w:sz w:val="28"/>
          <w:szCs w:val="28"/>
          <w:lang w:val="vi-VN"/>
        </w:rPr>
        <w:t xml:space="preserve">. </w:t>
      </w:r>
      <w:r w:rsidRPr="006B497E">
        <w:rPr>
          <w:sz w:val="28"/>
          <w:szCs w:val="28"/>
          <w:lang w:val="vi-VN"/>
        </w:rPr>
        <w:t>C</w:t>
      </w:r>
      <w:r w:rsidRPr="00AC327C">
        <w:rPr>
          <w:sz w:val="28"/>
          <w:szCs w:val="28"/>
          <w:lang w:val="vi-VN"/>
        </w:rPr>
        <w:t>ác chất trong tự nhiên được chiết xuất và hoạt hóa từ sản phẩm của thực vật, a xít béo hoặc tổng hợp dùng để kiểm soát sinh vật gây hại bằng cơ chế không độc. Chất Eugenol là thành phần chính có trong dầu hương nhu, đinh hương</w:t>
      </w:r>
      <w:r w:rsidRPr="006B497E">
        <w:rPr>
          <w:sz w:val="28"/>
          <w:szCs w:val="28"/>
          <w:lang w:val="vi-VN"/>
        </w:rPr>
        <w:t>, v.v.</w:t>
      </w:r>
      <w:r w:rsidRPr="00AC327C">
        <w:rPr>
          <w:sz w:val="28"/>
          <w:szCs w:val="28"/>
          <w:lang w:val="vi-VN"/>
        </w:rPr>
        <w:t xml:space="preserve"> Khi eugenol được methyl hóa sẽ tạo thành </w:t>
      </w:r>
      <w:r w:rsidRPr="00937F4C">
        <w:rPr>
          <w:sz w:val="28"/>
          <w:szCs w:val="28"/>
          <w:lang w:val="vi-VN"/>
        </w:rPr>
        <w:t>m</w:t>
      </w:r>
      <w:r w:rsidRPr="00AC327C">
        <w:rPr>
          <w:sz w:val="28"/>
          <w:szCs w:val="28"/>
          <w:lang w:val="vi-VN"/>
        </w:rPr>
        <w:t>etyl eugenol một chất dẫn dụ côn trùng mà đặc biệt là ruồi đục quả (</w:t>
      </w:r>
      <w:r w:rsidRPr="00B21A3A">
        <w:rPr>
          <w:i/>
          <w:iCs/>
          <w:sz w:val="28"/>
          <w:szCs w:val="28"/>
          <w:lang w:val="vi-VN"/>
        </w:rPr>
        <w:t>Bactrocera</w:t>
      </w:r>
      <w:r w:rsidRPr="00AC327C">
        <w:rPr>
          <w:sz w:val="28"/>
          <w:szCs w:val="28"/>
          <w:lang w:val="vi-VN"/>
        </w:rPr>
        <w:t xml:space="preserve"> spp., </w:t>
      </w:r>
      <w:r w:rsidRPr="00B21A3A">
        <w:rPr>
          <w:i/>
          <w:iCs/>
          <w:sz w:val="28"/>
          <w:szCs w:val="28"/>
          <w:lang w:val="vi-VN"/>
        </w:rPr>
        <w:t>Dacus</w:t>
      </w:r>
      <w:r w:rsidRPr="00AC327C">
        <w:rPr>
          <w:sz w:val="28"/>
          <w:szCs w:val="28"/>
          <w:lang w:val="vi-VN"/>
        </w:rPr>
        <w:t xml:space="preserve"> spp.). </w:t>
      </w:r>
      <w:r w:rsidRPr="006B497E">
        <w:rPr>
          <w:sz w:val="28"/>
          <w:szCs w:val="28"/>
          <w:lang w:val="vi-VN"/>
        </w:rPr>
        <w:t>Cách khác là</w:t>
      </w:r>
      <w:r w:rsidRPr="00AC327C">
        <w:rPr>
          <w:sz w:val="28"/>
          <w:szCs w:val="28"/>
          <w:lang w:val="vi-VN"/>
        </w:rPr>
        <w:t xml:space="preserve"> thủy phân </w:t>
      </w:r>
      <w:r>
        <w:rPr>
          <w:sz w:val="28"/>
          <w:szCs w:val="28"/>
          <w:lang w:val="vi-VN"/>
        </w:rPr>
        <w:t>prô-tê-in</w:t>
      </w:r>
      <w:r w:rsidRPr="00AC327C">
        <w:rPr>
          <w:sz w:val="28"/>
          <w:szCs w:val="28"/>
          <w:lang w:val="vi-VN"/>
        </w:rPr>
        <w:t xml:space="preserve"> từ bã bia để làm chất dẫn dụ và bẫy bả diệt ruồi đục quả (chế phẩm Ento-pro 150 DD). Một số pheromone giới tính (sex pheromone) cũng đã được tổng hợp để dự tính, dự báo và sản xuất các bẫy, bả đặt trên đồng ruộng để quản lý sâu hại.</w:t>
      </w:r>
    </w:p>
    <w:p w14:paraId="15EB5F09" w14:textId="77777777" w:rsidR="00136B4A" w:rsidRPr="006B497E" w:rsidRDefault="00136B4A" w:rsidP="00136B4A">
      <w:pPr>
        <w:ind w:firstLine="720"/>
        <w:jc w:val="both"/>
        <w:rPr>
          <w:sz w:val="28"/>
          <w:szCs w:val="28"/>
          <w:lang w:val="vi-VN"/>
        </w:rPr>
      </w:pPr>
      <w:r w:rsidRPr="00AC327C">
        <w:rPr>
          <w:sz w:val="28"/>
          <w:szCs w:val="28"/>
          <w:lang w:val="vi-VN"/>
        </w:rPr>
        <w:t>Theo luật pháp của Việt Nam, tất cả thuốc bảo vệ thực vật hóa học hay sinh học đều phải được đăng ký vào danh mục thuốc được phép sử dụng trước khi thương mại hóa trên thị trường</w:t>
      </w:r>
      <w:r w:rsidRPr="006B497E">
        <w:rPr>
          <w:sz w:val="28"/>
          <w:szCs w:val="28"/>
          <w:lang w:val="vi-VN"/>
        </w:rPr>
        <w:t>.</w:t>
      </w:r>
    </w:p>
    <w:p w14:paraId="01A992E5" w14:textId="77777777" w:rsidR="00136B4A" w:rsidRPr="00AC327C" w:rsidRDefault="00136B4A" w:rsidP="00136B4A">
      <w:pPr>
        <w:jc w:val="center"/>
        <w:rPr>
          <w:sz w:val="28"/>
          <w:szCs w:val="28"/>
        </w:rPr>
      </w:pPr>
      <w:r w:rsidRPr="00AC327C">
        <w:rPr>
          <w:noProof/>
          <w:sz w:val="28"/>
          <w:szCs w:val="28"/>
        </w:rPr>
        <w:lastRenderedPageBreak/>
        <w:drawing>
          <wp:inline distT="0" distB="0" distL="0" distR="0" wp14:anchorId="3E07B8F3" wp14:editId="494F1C6A">
            <wp:extent cx="2954655" cy="1981200"/>
            <wp:effectExtent l="0" t="0" r="0" b="0"/>
            <wp:docPr id="870306311" name="Picture 33" descr="Description: Icing_sugar_fungus__Cordyceps_bassian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escription: Icing_sugar_fungus__Cordyceps_bassiana-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4655" cy="1981200"/>
                    </a:xfrm>
                    <a:prstGeom prst="rect">
                      <a:avLst/>
                    </a:prstGeom>
                    <a:noFill/>
                    <a:ln>
                      <a:noFill/>
                    </a:ln>
                  </pic:spPr>
                </pic:pic>
              </a:graphicData>
            </a:graphic>
          </wp:inline>
        </w:drawing>
      </w:r>
    </w:p>
    <w:p w14:paraId="61751EA0" w14:textId="77777777" w:rsidR="00136B4A" w:rsidRPr="00A84D79" w:rsidRDefault="00136B4A" w:rsidP="00136B4A">
      <w:pPr>
        <w:ind w:left="576"/>
        <w:jc w:val="center"/>
        <w:rPr>
          <w:i/>
          <w:iCs/>
        </w:rPr>
      </w:pPr>
      <w:r w:rsidRPr="00A84D79">
        <w:rPr>
          <w:i/>
          <w:iCs/>
        </w:rPr>
        <w:t>Hình 1</w:t>
      </w:r>
      <w:r>
        <w:rPr>
          <w:i/>
          <w:iCs/>
        </w:rPr>
        <w:t>.</w:t>
      </w:r>
      <w:r w:rsidRPr="00A84D79">
        <w:rPr>
          <w:i/>
          <w:iCs/>
        </w:rPr>
        <w:t xml:space="preserve"> Nấm Beauveria bassiana ký sinh trên ve sầu</w:t>
      </w:r>
    </w:p>
    <w:p w14:paraId="6524CC3F" w14:textId="77777777" w:rsidR="00136B4A" w:rsidRPr="00AC327C" w:rsidRDefault="00136B4A" w:rsidP="00136B4A">
      <w:pPr>
        <w:ind w:left="576" w:hanging="576"/>
        <w:jc w:val="center"/>
      </w:pPr>
      <w:r w:rsidRPr="00AC327C">
        <w:rPr>
          <w:noProof/>
        </w:rPr>
        <w:drawing>
          <wp:inline distT="0" distB="0" distL="0" distR="0" wp14:anchorId="7B01FC0D" wp14:editId="162F6DFE">
            <wp:extent cx="2709545" cy="1735455"/>
            <wp:effectExtent l="0" t="0" r="0" b="0"/>
            <wp:docPr id="49656797" name="Picture 32" descr="Descriptio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9545" cy="1735455"/>
                    </a:xfrm>
                    <a:prstGeom prst="rect">
                      <a:avLst/>
                    </a:prstGeom>
                    <a:noFill/>
                    <a:ln>
                      <a:noFill/>
                    </a:ln>
                  </pic:spPr>
                </pic:pic>
              </a:graphicData>
            </a:graphic>
          </wp:inline>
        </w:drawing>
      </w:r>
    </w:p>
    <w:p w14:paraId="4FBC764F" w14:textId="77777777" w:rsidR="00136B4A" w:rsidRPr="00A84D79" w:rsidRDefault="00136B4A" w:rsidP="00136B4A">
      <w:pPr>
        <w:ind w:left="576"/>
        <w:jc w:val="center"/>
        <w:rPr>
          <w:b/>
          <w:i/>
          <w:iCs/>
        </w:rPr>
      </w:pPr>
      <w:r w:rsidRPr="00A84D79">
        <w:rPr>
          <w:i/>
          <w:iCs/>
        </w:rPr>
        <w:t>Hình 2</w:t>
      </w:r>
      <w:r>
        <w:rPr>
          <w:i/>
          <w:iCs/>
        </w:rPr>
        <w:t>.</w:t>
      </w:r>
      <w:r w:rsidRPr="00A84D79">
        <w:rPr>
          <w:i/>
          <w:iCs/>
        </w:rPr>
        <w:t xml:space="preserve"> Xạ khuẩn Streptomyces avermitilis. chứa hoạt</w:t>
      </w:r>
      <w:r>
        <w:rPr>
          <w:i/>
          <w:iCs/>
        </w:rPr>
        <w:t xml:space="preserve">                                                                   </w:t>
      </w:r>
      <w:r w:rsidRPr="00A84D79">
        <w:rPr>
          <w:i/>
          <w:iCs/>
        </w:rPr>
        <w:t>chất trừ sâu Abamectin</w:t>
      </w:r>
    </w:p>
    <w:p w14:paraId="0C13A459" w14:textId="77777777" w:rsidR="00136B4A" w:rsidRPr="00AC327C" w:rsidRDefault="00136B4A" w:rsidP="00136B4A">
      <w:pPr>
        <w:ind w:left="576" w:hanging="576"/>
        <w:jc w:val="center"/>
        <w:rPr>
          <w:sz w:val="28"/>
          <w:szCs w:val="28"/>
        </w:rPr>
      </w:pPr>
      <w:r w:rsidRPr="00AC327C">
        <w:rPr>
          <w:noProof/>
          <w:sz w:val="28"/>
          <w:szCs w:val="28"/>
        </w:rPr>
        <w:drawing>
          <wp:inline distT="0" distB="0" distL="0" distR="0" wp14:anchorId="349B7913" wp14:editId="4B809289">
            <wp:extent cx="2717800" cy="1896745"/>
            <wp:effectExtent l="0" t="0" r="6350" b="8255"/>
            <wp:docPr id="649771082" name="Picture 31" descr="Description: khoe-va-dep_cay-neem-an-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khoe-va-dep_cay-neem-an-do-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1896745"/>
                    </a:xfrm>
                    <a:prstGeom prst="rect">
                      <a:avLst/>
                    </a:prstGeom>
                    <a:noFill/>
                    <a:ln>
                      <a:noFill/>
                    </a:ln>
                  </pic:spPr>
                </pic:pic>
              </a:graphicData>
            </a:graphic>
          </wp:inline>
        </w:drawing>
      </w:r>
    </w:p>
    <w:p w14:paraId="6894902B" w14:textId="77777777" w:rsidR="00136B4A" w:rsidRPr="00A84D79" w:rsidRDefault="00136B4A" w:rsidP="00136B4A">
      <w:pPr>
        <w:ind w:left="576"/>
        <w:jc w:val="center"/>
        <w:rPr>
          <w:i/>
          <w:iCs/>
        </w:rPr>
      </w:pPr>
      <w:r w:rsidRPr="00A84D79">
        <w:rPr>
          <w:i/>
          <w:iCs/>
        </w:rPr>
        <w:t>Hình 3</w:t>
      </w:r>
      <w:r>
        <w:rPr>
          <w:i/>
          <w:iCs/>
        </w:rPr>
        <w:t>.</w:t>
      </w:r>
      <w:r w:rsidRPr="00A84D79">
        <w:rPr>
          <w:i/>
          <w:iCs/>
        </w:rPr>
        <w:t xml:space="preserve"> Cây xoan Ấn Độ (neem).</w:t>
      </w:r>
    </w:p>
    <w:p w14:paraId="266BB769" w14:textId="77777777" w:rsidR="00136B4A" w:rsidRPr="00AC327C" w:rsidRDefault="00136B4A" w:rsidP="00136B4A">
      <w:pPr>
        <w:ind w:left="576" w:hanging="576"/>
        <w:jc w:val="center"/>
      </w:pPr>
      <w:r w:rsidRPr="00AC327C">
        <w:rPr>
          <w:noProof/>
        </w:rPr>
        <w:drawing>
          <wp:inline distT="0" distB="0" distL="0" distR="0" wp14:anchorId="1E827A4C" wp14:editId="0E9A7800">
            <wp:extent cx="2700655" cy="1803400"/>
            <wp:effectExtent l="0" t="0" r="4445" b="6350"/>
            <wp:docPr id="2070528543" name="Picture 30" descr="Description: da qu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escription: da quy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655" cy="1803400"/>
                    </a:xfrm>
                    <a:prstGeom prst="rect">
                      <a:avLst/>
                    </a:prstGeom>
                    <a:noFill/>
                    <a:ln>
                      <a:noFill/>
                    </a:ln>
                  </pic:spPr>
                </pic:pic>
              </a:graphicData>
            </a:graphic>
          </wp:inline>
        </w:drawing>
      </w:r>
    </w:p>
    <w:p w14:paraId="0D67FF4E" w14:textId="77777777" w:rsidR="00136B4A" w:rsidRPr="00A84D79" w:rsidRDefault="00136B4A" w:rsidP="00136B4A">
      <w:pPr>
        <w:ind w:left="576"/>
        <w:jc w:val="center"/>
        <w:rPr>
          <w:i/>
          <w:iCs/>
        </w:rPr>
      </w:pPr>
      <w:r w:rsidRPr="00A84D79">
        <w:rPr>
          <w:i/>
          <w:iCs/>
        </w:rPr>
        <w:lastRenderedPageBreak/>
        <w:t>Hình 4</w:t>
      </w:r>
      <w:r>
        <w:rPr>
          <w:i/>
          <w:iCs/>
        </w:rPr>
        <w:t xml:space="preserve">.  </w:t>
      </w:r>
      <w:r w:rsidRPr="00A84D79">
        <w:rPr>
          <w:i/>
          <w:iCs/>
        </w:rPr>
        <w:t>Cây hoa dã quỳ</w:t>
      </w:r>
    </w:p>
    <w:p w14:paraId="69BA03BD" w14:textId="77777777" w:rsidR="00136B4A" w:rsidRPr="00AC327C" w:rsidRDefault="00136B4A" w:rsidP="00136B4A">
      <w:pPr>
        <w:ind w:left="576" w:hanging="576"/>
        <w:jc w:val="center"/>
        <w:rPr>
          <w:noProof/>
          <w:sz w:val="28"/>
          <w:szCs w:val="28"/>
        </w:rPr>
      </w:pPr>
      <w:r w:rsidRPr="00AC327C">
        <w:rPr>
          <w:noProof/>
          <w:sz w:val="28"/>
          <w:szCs w:val="28"/>
        </w:rPr>
        <w:drawing>
          <wp:inline distT="0" distB="0" distL="0" distR="0" wp14:anchorId="56FA48ED" wp14:editId="5ACC9D63">
            <wp:extent cx="2709545" cy="1803400"/>
            <wp:effectExtent l="0" t="0" r="0" b="6350"/>
            <wp:docPr id="2042165360" name="Picture 29" descr="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Pictur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9545" cy="1803400"/>
                    </a:xfrm>
                    <a:prstGeom prst="rect">
                      <a:avLst/>
                    </a:prstGeom>
                    <a:noFill/>
                    <a:ln>
                      <a:noFill/>
                    </a:ln>
                  </pic:spPr>
                </pic:pic>
              </a:graphicData>
            </a:graphic>
          </wp:inline>
        </w:drawing>
      </w:r>
    </w:p>
    <w:p w14:paraId="202E508A" w14:textId="77777777" w:rsidR="00136B4A" w:rsidRPr="00A84D79" w:rsidRDefault="00136B4A" w:rsidP="00136B4A">
      <w:pPr>
        <w:ind w:left="576"/>
        <w:jc w:val="center"/>
        <w:rPr>
          <w:i/>
          <w:iCs/>
        </w:rPr>
      </w:pPr>
      <w:r w:rsidRPr="00A84D79">
        <w:rPr>
          <w:i/>
          <w:iCs/>
        </w:rPr>
        <w:t>Hình 5</w:t>
      </w:r>
      <w:r>
        <w:rPr>
          <w:i/>
          <w:iCs/>
        </w:rPr>
        <w:t>.</w:t>
      </w:r>
      <w:r w:rsidRPr="00A84D79">
        <w:rPr>
          <w:i/>
          <w:iCs/>
        </w:rPr>
        <w:t xml:space="preserve"> Bẫy pheromone</w:t>
      </w:r>
    </w:p>
    <w:p w14:paraId="2BD480AC" w14:textId="77777777" w:rsidR="00136B4A" w:rsidRPr="00AC327C" w:rsidRDefault="00136B4A" w:rsidP="00136B4A">
      <w:pPr>
        <w:ind w:left="576"/>
        <w:jc w:val="right"/>
        <w:rPr>
          <w:b/>
          <w:lang w:val="vi-VN"/>
        </w:rPr>
      </w:pPr>
      <w:r w:rsidRPr="00AC327C">
        <w:rPr>
          <w:b/>
          <w:lang w:val="vi-VN"/>
        </w:rPr>
        <w:t>NGÔ VĨNH VIỄN</w:t>
      </w:r>
    </w:p>
    <w:p w14:paraId="1259055A" w14:textId="77777777" w:rsidR="00136B4A" w:rsidRPr="006B497E" w:rsidRDefault="00136B4A" w:rsidP="00136B4A">
      <w:pPr>
        <w:jc w:val="both"/>
        <w:rPr>
          <w:b/>
          <w:lang w:val="vi-VN"/>
        </w:rPr>
      </w:pPr>
      <w:r w:rsidRPr="006B497E">
        <w:rPr>
          <w:b/>
          <w:lang w:val="vi-VN"/>
        </w:rPr>
        <w:t>Tài liệu tham khảo</w:t>
      </w:r>
    </w:p>
    <w:p w14:paraId="7C2F1061" w14:textId="77777777" w:rsidR="00136B4A" w:rsidRPr="00AC327C" w:rsidRDefault="00136B4A" w:rsidP="00136B4A">
      <w:pPr>
        <w:ind w:left="284" w:hanging="284"/>
        <w:jc w:val="both"/>
        <w:rPr>
          <w:lang w:val="vi-VN"/>
        </w:rPr>
      </w:pPr>
      <w:r w:rsidRPr="006B497E">
        <w:rPr>
          <w:lang w:val="vi-VN"/>
        </w:rPr>
        <w:t xml:space="preserve">1. Đào Văn Hoằng, </w:t>
      </w:r>
      <w:r w:rsidRPr="006B497E">
        <w:rPr>
          <w:i/>
          <w:lang w:val="vi-VN"/>
        </w:rPr>
        <w:t>Thuốc trừ sâu có nguồn gốc thảo mộc</w:t>
      </w:r>
      <w:r w:rsidRPr="006B497E">
        <w:rPr>
          <w:lang w:val="vi-VN"/>
        </w:rPr>
        <w:t>, Kỹ thuật tổng hợp các hoạt chất bảo vệ thực vật, Nxb. Khoa học và Kỹ thuật,</w:t>
      </w:r>
      <w:r w:rsidRPr="00AC327C">
        <w:rPr>
          <w:lang w:val="vi-VN"/>
        </w:rPr>
        <w:t xml:space="preserve"> Hà Nội, 2005.</w:t>
      </w:r>
    </w:p>
    <w:p w14:paraId="34944C67" w14:textId="77777777" w:rsidR="00136B4A" w:rsidRPr="00AC327C" w:rsidRDefault="00136B4A" w:rsidP="00136B4A">
      <w:pPr>
        <w:ind w:left="284" w:hanging="284"/>
        <w:jc w:val="both"/>
      </w:pPr>
      <w:r w:rsidRPr="006B497E">
        <w:rPr>
          <w:lang w:val="vi-VN"/>
        </w:rPr>
        <w:t>2</w:t>
      </w:r>
      <w:r w:rsidRPr="00AC327C">
        <w:rPr>
          <w:lang w:val="vi-VN"/>
        </w:rPr>
        <w:t xml:space="preserve">. Lê Văn Trịnh, Nguyễn Văn Tuất, Vũ Thị Sử, Nguyễn Thị Nguyên, </w:t>
      </w:r>
      <w:r w:rsidRPr="00AC327C">
        <w:rPr>
          <w:i/>
          <w:lang w:val="vi-VN"/>
        </w:rPr>
        <w:t>Nghiên cứu sử dụng chất dẫn dụ giới tính (sex pheromone) để dự báo, phòng trừ sâu hại cây trồng nông nghiệp</w:t>
      </w:r>
      <w:r w:rsidRPr="006B497E">
        <w:rPr>
          <w:lang w:val="vi-VN"/>
        </w:rPr>
        <w:t>,</w:t>
      </w:r>
      <w:r w:rsidRPr="00AC327C">
        <w:rPr>
          <w:lang w:val="vi-VN"/>
        </w:rPr>
        <w:t xml:space="preserve"> Tuyển tập công trình nghiên cứu bảo vệ thực vật 2000 - 2002. </w:t>
      </w:r>
      <w:r w:rsidRPr="00AC327C">
        <w:t xml:space="preserve">Nxb. Nông nghiệp, </w:t>
      </w:r>
      <w:r>
        <w:t xml:space="preserve">Hà Nội, </w:t>
      </w:r>
      <w:r w:rsidRPr="00AC327C">
        <w:t>2002.</w:t>
      </w:r>
    </w:p>
    <w:p w14:paraId="3843EC4D" w14:textId="77777777" w:rsidR="00136B4A" w:rsidRPr="00AC327C" w:rsidRDefault="00136B4A" w:rsidP="00136B4A">
      <w:pPr>
        <w:ind w:left="284" w:hanging="284"/>
        <w:jc w:val="both"/>
      </w:pPr>
      <w:r w:rsidRPr="00AC327C">
        <w:t>3. Ngô Đình Bính, Ray, J., Akhurst, Donal, H.</w:t>
      </w:r>
      <w:r w:rsidRPr="00AC327C">
        <w:rPr>
          <w:lang w:val="vi-VN"/>
        </w:rPr>
        <w:t xml:space="preserve"> </w:t>
      </w:r>
      <w:r w:rsidRPr="00AC327C">
        <w:t xml:space="preserve">Dean, </w:t>
      </w:r>
      <w:r w:rsidRPr="00AC327C">
        <w:rPr>
          <w:i/>
        </w:rPr>
        <w:t>Biotechnology of Bacillus thuringiensis</w:t>
      </w:r>
      <w:r w:rsidRPr="00AC327C">
        <w:t>, Volume 5. Science and Technics Publishing House, Hà Nộ</w:t>
      </w:r>
      <w:bookmarkStart w:id="1" w:name="_Toc29192969"/>
      <w:r w:rsidRPr="00AC327C">
        <w:t>i, 2005.</w:t>
      </w:r>
    </w:p>
    <w:bookmarkEnd w:id="1"/>
    <w:p w14:paraId="20CD1A7E" w14:textId="77777777" w:rsidR="00136B4A" w:rsidRPr="00AC327C" w:rsidRDefault="00136B4A" w:rsidP="00136B4A">
      <w:pPr>
        <w:ind w:left="284" w:hanging="284"/>
        <w:jc w:val="both"/>
      </w:pPr>
      <w:r w:rsidRPr="00AC327C">
        <w:t xml:space="preserve">4. Nguyễn Văn Cảm, Hoàng Thị Việt, Nguyễn Văn Hoa, Lương Thanh Cù, Trần Quang Tấn, Nguyến Đậu Toàn, </w:t>
      </w:r>
      <w:r w:rsidRPr="00AC327C">
        <w:rPr>
          <w:i/>
        </w:rPr>
        <w:t xml:space="preserve">Bệnh thối nhũn sâu đo xanh (Anomis flava </w:t>
      </w:r>
      <w:r w:rsidRPr="00AC327C">
        <w:t>fabr</w:t>
      </w:r>
      <w:r w:rsidRPr="00AC327C">
        <w:rPr>
          <w:i/>
        </w:rPr>
        <w:t>) và khả năng sử dụng chúng trong việc phòng trừ sâu đo xanh hại đay</w:t>
      </w:r>
      <w:r w:rsidRPr="00AC327C">
        <w:t>, Tuyển tập công trình nghiên cứu bảo vệ thực vật 1990 - 1995. Nxb. Nông nghiệp</w:t>
      </w:r>
      <w:r w:rsidRPr="00AC327C">
        <w:rPr>
          <w:lang w:val="vi-VN"/>
        </w:rPr>
        <w:t xml:space="preserve">, </w:t>
      </w:r>
      <w:r w:rsidRPr="00AC327C">
        <w:t>Hà Nội, 1996.</w:t>
      </w:r>
    </w:p>
    <w:p w14:paraId="777E296A" w14:textId="77777777" w:rsidR="00136B4A" w:rsidRPr="00AC327C" w:rsidRDefault="00136B4A" w:rsidP="00136B4A">
      <w:pPr>
        <w:ind w:left="284" w:hanging="284"/>
        <w:jc w:val="both"/>
      </w:pPr>
      <w:r w:rsidRPr="00AC327C">
        <w:t xml:space="preserve">5. Nguyễn Mạnh Chinh, </w:t>
      </w:r>
      <w:r w:rsidRPr="00AC327C">
        <w:rPr>
          <w:i/>
        </w:rPr>
        <w:t>Thuốc bảo vệ thực vật sinh học</w:t>
      </w:r>
      <w:r w:rsidRPr="00AC327C">
        <w:t xml:space="preserve">, Nxb. Nông nghiệp, </w:t>
      </w:r>
      <w:r w:rsidRPr="00937F4C">
        <w:rPr>
          <w:color w:val="FF0000"/>
        </w:rPr>
        <w:t>Thành phố Hồ Chí Minh,</w:t>
      </w:r>
      <w:r w:rsidRPr="00AC327C">
        <w:t xml:space="preserve"> 2011.</w:t>
      </w:r>
    </w:p>
    <w:p w14:paraId="513BAA63"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4A"/>
    <w:rsid w:val="00000CD6"/>
    <w:rsid w:val="000A6B36"/>
    <w:rsid w:val="00136B4A"/>
    <w:rsid w:val="001A139D"/>
    <w:rsid w:val="006A583F"/>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AC7A"/>
  <w15:chartTrackingRefBased/>
  <w15:docId w15:val="{D62DCB94-9C61-4D4F-A81E-9CB33116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B4A"/>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136B4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136B4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136B4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136B4A"/>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136B4A"/>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136B4A"/>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136B4A"/>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136B4A"/>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136B4A"/>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B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136B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B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B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B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B4A"/>
    <w:rPr>
      <w:rFonts w:eastAsiaTheme="majorEastAsia" w:cstheme="majorBidi"/>
      <w:color w:val="272727" w:themeColor="text1" w:themeTint="D8"/>
    </w:rPr>
  </w:style>
  <w:style w:type="paragraph" w:styleId="Title">
    <w:name w:val="Title"/>
    <w:basedOn w:val="Normal"/>
    <w:next w:val="Normal"/>
    <w:link w:val="TitleChar"/>
    <w:uiPriority w:val="10"/>
    <w:qFormat/>
    <w:rsid w:val="00136B4A"/>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13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B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13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B4A"/>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136B4A"/>
    <w:rPr>
      <w:i/>
      <w:iCs/>
      <w:color w:val="404040" w:themeColor="text1" w:themeTint="BF"/>
    </w:rPr>
  </w:style>
  <w:style w:type="paragraph" w:styleId="ListParagraph">
    <w:name w:val="List Paragraph"/>
    <w:basedOn w:val="Normal"/>
    <w:uiPriority w:val="34"/>
    <w:qFormat/>
    <w:rsid w:val="00136B4A"/>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136B4A"/>
    <w:rPr>
      <w:i/>
      <w:iCs/>
      <w:color w:val="2F5496" w:themeColor="accent1" w:themeShade="BF"/>
    </w:rPr>
  </w:style>
  <w:style w:type="paragraph" w:styleId="IntenseQuote">
    <w:name w:val="Intense Quote"/>
    <w:basedOn w:val="Normal"/>
    <w:next w:val="Normal"/>
    <w:link w:val="IntenseQuoteChar"/>
    <w:uiPriority w:val="30"/>
    <w:qFormat/>
    <w:rsid w:val="00136B4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136B4A"/>
    <w:rPr>
      <w:i/>
      <w:iCs/>
      <w:color w:val="2F5496" w:themeColor="accent1" w:themeShade="BF"/>
    </w:rPr>
  </w:style>
  <w:style w:type="character" w:styleId="IntenseReference">
    <w:name w:val="Intense Reference"/>
    <w:basedOn w:val="DefaultParagraphFont"/>
    <w:uiPriority w:val="32"/>
    <w:qFormat/>
    <w:rsid w:val="00136B4A"/>
    <w:rPr>
      <w:b/>
      <w:bCs/>
      <w:smallCaps/>
      <w:color w:val="2F5496" w:themeColor="accent1" w:themeShade="BF"/>
      <w:spacing w:val="5"/>
    </w:rPr>
  </w:style>
  <w:style w:type="character" w:styleId="Hyperlink">
    <w:name w:val="Hyperlink"/>
    <w:basedOn w:val="DefaultParagraphFont"/>
    <w:uiPriority w:val="99"/>
    <w:unhideWhenUsed/>
    <w:rsid w:val="00136B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vi.wikipedia.org/w/index.php?title=Adrien-Henri_de_Jussieu&amp;action=edit&amp;redlink=1" TargetMode="External"/><Relationship Id="rId10" Type="http://schemas.openxmlformats.org/officeDocument/2006/relationships/image" Target="media/image5.jpeg"/><Relationship Id="rId4" Type="http://schemas.openxmlformats.org/officeDocument/2006/relationships/hyperlink" Target="https://en.wikipedia.org/wiki/William_Hemsley_(botanist)"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2025-11-26T14:24:00Z</dcterms:created>
  <dcterms:modified xsi:type="dcterms:W3CDTF">2025-11-26T14:25:00Z</dcterms:modified>
</cp:coreProperties>
</file>